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4AFE" w:rsidRPr="00BC09B4">
        <w:rPr>
          <w:rFonts w:ascii="Verdana" w:hAnsi="Verdana"/>
          <w:b/>
          <w:sz w:val="18"/>
          <w:szCs w:val="18"/>
        </w:rPr>
        <w:t>„</w:t>
      </w:r>
      <w:r w:rsidR="004B4AFE" w:rsidRPr="005378E0">
        <w:rPr>
          <w:rFonts w:ascii="Verdana" w:hAnsi="Verdana" w:cs="Arial"/>
          <w:b/>
          <w:sz w:val="18"/>
          <w:szCs w:val="18"/>
        </w:rPr>
        <w:t>Odstranění postradatelných objektů za hranicí životnosti - sklad a rampa Praha Dejvice</w:t>
      </w:r>
      <w:r w:rsidR="004B4AFE" w:rsidRPr="00BC09B4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B4AF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B4AFE" w:rsidRPr="004B4AF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4AFE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9A33BA-864A-4F4B-8924-E2B8089FD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17</cp:revision>
  <cp:lastPrinted>2016-08-01T07:54:00Z</cp:lastPrinted>
  <dcterms:created xsi:type="dcterms:W3CDTF">2018-11-26T13:17:00Z</dcterms:created>
  <dcterms:modified xsi:type="dcterms:W3CDTF">2023-02-21T13:43:00Z</dcterms:modified>
</cp:coreProperties>
</file>